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/>
          <w:sz w:val="32"/>
          <w:szCs w:val="32"/>
        </w:rPr>
      </w:pPr>
    </w:p>
    <w:p>
      <w:pPr>
        <w:spacing w:line="600" w:lineRule="exact"/>
        <w:jc w:val="both"/>
        <w:rPr>
          <w:rFonts w:hint="eastAsia"/>
          <w:sz w:val="32"/>
          <w:szCs w:val="32"/>
        </w:rPr>
      </w:pPr>
    </w:p>
    <w:p>
      <w:pPr>
        <w:spacing w:line="600" w:lineRule="exact"/>
        <w:jc w:val="both"/>
        <w:rPr>
          <w:rFonts w:hint="eastAsia"/>
          <w:sz w:val="32"/>
          <w:szCs w:val="32"/>
        </w:rPr>
      </w:pPr>
    </w:p>
    <w:p>
      <w:pPr>
        <w:spacing w:line="600" w:lineRule="exact"/>
        <w:jc w:val="right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赣农机综﹝201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</w:t>
      </w:r>
    </w:p>
    <w:p>
      <w:pPr>
        <w:spacing w:line="590" w:lineRule="exact"/>
        <w:jc w:val="both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江西省农机局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关于报送201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年第二批</w:t>
      </w: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农机购置补贴资金需求的通知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各市、县（区）农机局（站）：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年第二批农机购置补贴资金分配工作，请各县（市、区）在结合当前农机购置补贴实施的基础上，充分考虑主要农作物生产机械化发展以及购机需求意向等因素，合理测算201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年第二批农机购置补贴资金需求，认真填报《201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年第二批农机购置补贴资金需求表》，报各设区市。各设区市汇总后（加盖公章）务必于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日前，传真至省农机局产业发展科。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联系人:黄兰,联系电话:0791-86234564。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201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年第二批农机购置补贴资金需求表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填报单位：   设区市农机部门盖章          时间： 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page" w:horzAnchor="margin" w:tblpY="268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378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资金（万元）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XX县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设区市合计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/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D506D"/>
    <w:rsid w:val="1CF755E9"/>
    <w:rsid w:val="4E1649D4"/>
    <w:rsid w:val="78AD50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2016-07-13T02:16:00Z</dcterms:created>
  <dc:creator>Administrator</dc:creator>
  <cp:lastModifiedBy>胡晨怡</cp:lastModifiedBy>
  <cp:lastPrinted>2016-07-13T02:18:00Z</cp:lastPrinted>
  <dcterms:modified xsi:type="dcterms:W3CDTF">2016-07-13T02:35:30Z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