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line="520" w:lineRule="atLeast"/>
        <w:textAlignment w:val="baseline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附表</w:t>
      </w:r>
    </w:p>
    <w:p>
      <w:pPr>
        <w:autoSpaceDN w:val="0"/>
        <w:spacing w:line="330" w:lineRule="atLeast"/>
        <w:ind w:firstLine="643" w:firstLineChars="200"/>
        <w:jc w:val="left"/>
        <w:rPr>
          <w:rFonts w:eastAsia="黑体"/>
          <w:color w:val="000000"/>
          <w:sz w:val="36"/>
          <w:szCs w:val="36"/>
        </w:rPr>
      </w:pPr>
      <w:r>
        <w:rPr>
          <w:b/>
          <w:bCs/>
          <w:color w:val="000000"/>
          <w:sz w:val="32"/>
        </w:rPr>
        <w:t xml:space="preserve">      </w:t>
      </w:r>
      <w:r>
        <w:rPr>
          <w:rFonts w:eastAsia="黑体"/>
          <w:bCs/>
          <w:color w:val="000000"/>
          <w:sz w:val="36"/>
          <w:szCs w:val="36"/>
        </w:rPr>
        <w:t>农机深松整地作业补助项目绩效考评表</w:t>
      </w:r>
    </w:p>
    <w:p>
      <w:pPr>
        <w:autoSpaceDN w:val="0"/>
        <w:jc w:val="left"/>
        <w:textAlignment w:val="center"/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 xml:space="preserve">       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市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u w:val="single"/>
        </w:rPr>
        <w:t xml:space="preserve">       </w:t>
      </w:r>
      <w:r>
        <w:rPr>
          <w:rFonts w:hAnsi="宋体"/>
          <w:color w:val="000000"/>
          <w:sz w:val="24"/>
        </w:rPr>
        <w:t>县</w:t>
      </w:r>
    </w:p>
    <w:tbl>
      <w:tblPr>
        <w:tblStyle w:val="7"/>
        <w:tblW w:w="91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245"/>
        <w:gridCol w:w="1905"/>
        <w:gridCol w:w="750"/>
        <w:gridCol w:w="765"/>
        <w:gridCol w:w="35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 xml:space="preserve">一级    指标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赋分标准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实际打分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评分办法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业务指标（</w:t>
            </w:r>
            <w:r>
              <w:rPr>
                <w:color w:val="000000"/>
                <w:sz w:val="24"/>
                <w:szCs w:val="24"/>
              </w:rPr>
              <w:t>75</w:t>
            </w:r>
            <w:r>
              <w:rPr>
                <w:rFonts w:hAnsi="宋体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目标设定（</w:t>
            </w:r>
            <w:r>
              <w:rPr>
                <w:color w:val="000000"/>
                <w:sz w:val="24"/>
                <w:szCs w:val="24"/>
              </w:rPr>
              <w:t>20</w:t>
            </w:r>
            <w:r>
              <w:rPr>
                <w:rFonts w:hAnsi="宋体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制订印发《实施方案》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以县政府或政府办文件发布得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rFonts w:hAnsi="宋体"/>
                <w:color w:val="000000"/>
                <w:sz w:val="24"/>
                <w:szCs w:val="24"/>
              </w:rPr>
              <w:t>分，以县农机部门文件发布得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rFonts w:hAnsi="宋体"/>
                <w:color w:val="000000"/>
                <w:sz w:val="24"/>
                <w:szCs w:val="24"/>
              </w:rPr>
              <w:t>分，未印发实施方案不得分。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目标完成（</w:t>
            </w:r>
            <w:r>
              <w:rPr>
                <w:color w:val="000000"/>
                <w:sz w:val="24"/>
                <w:szCs w:val="24"/>
              </w:rPr>
              <w:t>40</w:t>
            </w:r>
            <w:r>
              <w:rPr>
                <w:rFonts w:hAnsi="宋体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任务完成情况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作业任务完成得满分，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按完成任务比例计分</w:t>
            </w:r>
            <w:r>
              <w:rPr>
                <w:rFonts w:hAnsi="宋体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作业规范（</w:t>
            </w: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rFonts w:hAnsi="宋体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作业质量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符合作业规范得满分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，否则酌情扣分</w:t>
            </w:r>
            <w:r>
              <w:rPr>
                <w:rFonts w:hAnsi="宋体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工作要求（</w:t>
            </w: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rFonts w:hAnsi="宋体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档案管理、表格填报、动态统计、自查报告、工作总结等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有专人负责，材料齐全、建档规范，上报及时得满分，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否则</w:t>
            </w:r>
            <w:r>
              <w:rPr>
                <w:rFonts w:hAnsi="宋体"/>
                <w:color w:val="000000"/>
                <w:sz w:val="24"/>
                <w:szCs w:val="24"/>
              </w:rPr>
              <w:t>酌情扣分。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财务指标（</w:t>
            </w:r>
            <w:r>
              <w:rPr>
                <w:color w:val="000000"/>
                <w:sz w:val="24"/>
                <w:szCs w:val="24"/>
              </w:rPr>
              <w:t>25</w:t>
            </w:r>
            <w:r>
              <w:rPr>
                <w:rFonts w:hAnsi="宋体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资金兑付（</w:t>
            </w:r>
            <w:r>
              <w:rPr>
                <w:color w:val="000000"/>
                <w:sz w:val="24"/>
                <w:szCs w:val="24"/>
              </w:rPr>
              <w:t>20</w:t>
            </w:r>
            <w:r>
              <w:rPr>
                <w:rFonts w:hAnsi="宋体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资金兑付情况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当年全部兑付到位得满分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，</w:t>
            </w:r>
            <w:r>
              <w:rPr>
                <w:rFonts w:hAnsi="宋体"/>
                <w:color w:val="000000"/>
                <w:sz w:val="24"/>
                <w:szCs w:val="24"/>
              </w:rPr>
              <w:t>次年</w:t>
            </w: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rFonts w:hAnsi="宋体"/>
                <w:color w:val="000000"/>
                <w:sz w:val="24"/>
                <w:szCs w:val="24"/>
              </w:rPr>
              <w:t>月底前全部兑付得</w:t>
            </w: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rFonts w:hAnsi="宋体"/>
                <w:color w:val="000000"/>
                <w:sz w:val="24"/>
                <w:szCs w:val="24"/>
              </w:rPr>
              <w:t>分，次年</w:t>
            </w: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rFonts w:hAnsi="宋体"/>
                <w:color w:val="000000"/>
                <w:sz w:val="24"/>
                <w:szCs w:val="24"/>
              </w:rPr>
              <w:t>月底前全部兑付得</w:t>
            </w: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rFonts w:hAnsi="宋体"/>
                <w:color w:val="000000"/>
                <w:sz w:val="24"/>
                <w:szCs w:val="24"/>
              </w:rPr>
              <w:t>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财务管理（</w:t>
            </w: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rFonts w:hAnsi="宋体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财务管理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资金兑付手续完善得</w:t>
            </w: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rFonts w:hAnsi="宋体"/>
                <w:color w:val="000000"/>
                <w:sz w:val="24"/>
                <w:szCs w:val="24"/>
              </w:rPr>
              <w:t>分，否则不得分。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合计分数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4006"/>
          <w:tab w:val="left" w:pos="4756"/>
        </w:tabs>
        <w:autoSpaceDN w:val="0"/>
        <w:spacing w:line="360" w:lineRule="auto"/>
        <w:jc w:val="left"/>
        <w:textAlignment w:val="center"/>
        <w:rPr>
          <w:color w:val="000000"/>
          <w:sz w:val="10"/>
          <w:szCs w:val="10"/>
        </w:rPr>
      </w:pPr>
      <w:r>
        <w:rPr>
          <w:color w:val="000000"/>
          <w:sz w:val="24"/>
          <w:szCs w:val="24"/>
        </w:rPr>
        <w:t xml:space="preserve">   </w:t>
      </w:r>
    </w:p>
    <w:p>
      <w:pPr>
        <w:tabs>
          <w:tab w:val="left" w:pos="4006"/>
          <w:tab w:val="left" w:pos="4756"/>
        </w:tabs>
        <w:autoSpaceDN w:val="0"/>
        <w:spacing w:line="360" w:lineRule="auto"/>
        <w:ind w:firstLine="360" w:firstLineChars="150"/>
        <w:jc w:val="left"/>
        <w:textAlignment w:val="center"/>
        <w:rPr>
          <w:color w:val="000000"/>
          <w:kern w:val="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  <w:lang w:eastAsia="zh-CN"/>
        </w:rPr>
        <w:t>检查</w:t>
      </w:r>
      <w:r>
        <w:rPr>
          <w:rFonts w:hAnsi="宋体"/>
          <w:color w:val="000000"/>
          <w:sz w:val="24"/>
          <w:szCs w:val="24"/>
        </w:rPr>
        <w:t>组组长签字：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    </w:t>
      </w:r>
      <w:r>
        <w:rPr>
          <w:rFonts w:hAnsi="宋体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</w:rPr>
        <w:t xml:space="preserve">   </w:t>
      </w:r>
      <w:r>
        <w:rPr>
          <w:rFonts w:hAnsi="宋体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</w:rPr>
        <w:t xml:space="preserve">   </w:t>
      </w:r>
      <w:r>
        <w:rPr>
          <w:rFonts w:hAnsi="宋体"/>
          <w:color w:val="000000"/>
          <w:sz w:val="24"/>
          <w:szCs w:val="24"/>
        </w:rPr>
        <w:t>日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361" w:bottom="1440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- 6 -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971BA"/>
    <w:rsid w:val="2DC971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5">
    <w:name w:val="Char1"/>
    <w:basedOn w:val="1"/>
    <w:link w:val="4"/>
    <w:qFormat/>
    <w:uiPriority w:val="0"/>
    <w:pPr>
      <w:widowControl/>
      <w:spacing w:after="160" w:afterLines="0" w:line="240" w:lineRule="exact"/>
      <w:jc w:val="left"/>
    </w:p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2017-12-07T02:36:00Z</dcterms:created>
  <dc:creator>lenovo</dc:creator>
  <cp:lastModifiedBy>lenovo</cp:lastModifiedBy>
  <dcterms:modified xsi:type="dcterms:W3CDTF">2017-12-07T02:36:39Z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