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jc w:val="center"/>
        <w:rPr>
          <w:rFonts w:ascii="Times New Roman" w:hAnsi="Times New Roman" w:eastAsia="华文中宋" w:cs="Times New Roman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b/>
          <w:bCs/>
          <w:color w:val="000000"/>
          <w:sz w:val="36"/>
          <w:szCs w:val="36"/>
        </w:rPr>
        <w:t>2018</w:t>
      </w:r>
      <w:r>
        <w:rPr>
          <w:rFonts w:ascii="Times New Roman" w:eastAsia="华文中宋" w:cs="Times New Roman"/>
          <w:b/>
          <w:bCs/>
          <w:color w:val="000000"/>
          <w:sz w:val="36"/>
          <w:szCs w:val="36"/>
        </w:rPr>
        <w:t>年吉林省农机购置补贴机具补贴额一览表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kern w:val="0"/>
          <w:sz w:val="44"/>
          <w:szCs w:val="44"/>
        </w:rPr>
      </w:pPr>
    </w:p>
    <w:tbl>
      <w:tblPr>
        <w:tblW w:w="15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40"/>
        <w:gridCol w:w="1520"/>
        <w:gridCol w:w="1300"/>
        <w:gridCol w:w="2000"/>
        <w:gridCol w:w="2528"/>
        <w:gridCol w:w="3991"/>
        <w:gridCol w:w="1841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大类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小类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品目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分档名称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基本配置和参数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中央财政补贴额(元）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耕地机械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铧式犁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单体幅宽35cm以下，3—4铧翻转犁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单体幅宽＜35cm；铧体个数3—4铧；液压翻转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1040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耕地机械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铧式犁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单体幅宽35cm以下，5铧及以上翻转犁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单体幅宽＜35cm； 铧体个数≥5铧；液压翻转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耕地机械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铧式犁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单体幅宽35cm及以上，3—4铧翻转犁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单体幅宽≥35cm；铧体个数3—4铧；液压翻转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耕地机械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铧式犁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单体幅宽35—45cm，5—6铧翻转犁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35cm≤单体幅宽＜45cm；铧体个数5—6铧；液压翻转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4200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耕地机械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铧式犁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单体幅宽35—45cm，7铧及以上翻转犁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35cm≤单体幅宽＜45cm；铧体个数≥7铧；液压翻转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耕地机械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铧式犁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单体幅宽45cm及以上，5—6铧翻转犁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单体幅宽≥45cm；铧体个数5—6铧；液压翻转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耕地机械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铧式犁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单体幅宽45cm及以上，7铧及以上翻转犁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单体幅宽≥45cm；铧体个数≥7铧；液压翻转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耕地机械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深松机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3铲及以下深松机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深松部件3个及以下（不含旋耕、灭茬功能）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耕地机械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深松机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4—5铲深松机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深松部件4—5个（不含旋耕、灭茬功能）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耕地机械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深松机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6铲及以上深松机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深松部件6个及以上（不含旋耕、灭茬功能）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耕地机械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深松机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3铲及以下振动式深松机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振动式；深松部件3个及以下；具有主动振动装置（不含旋耕、灭茬功能）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2160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耕地机械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深松机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4—5铲振动式深松机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振动式；深松部件4—5个；具有主动振动装置（不含旋耕、灭茬功能）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2160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耕地机械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深松机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6铲及以上振动式深松机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振动式；深松部件6个及以上；具有主动振动装置（不含旋耕、灭茬功能）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3240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耕地机械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微耕机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功率4.0kW及以上微耕机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配套功率≥4.0kW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650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耕整地机械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整地机械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筑埂机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筑埂高度25cm及以上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筑埂高度≥25cm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条播机 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6行及以下条播机 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播种行数≤6行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360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条播机 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7—11行条播机 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7行≤播种行数≤11行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条播机 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12—18行条播机 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12行≤播种行数≤18行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条播机 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19—24行条播机 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19行≤播种行数≤24行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条播机 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25行及以上条播机 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播种行数≥25行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穴播机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4—5行穴播机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普通排种器；播种行数4、5行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1380</w:t>
            </w:r>
          </w:p>
        </w:tc>
        <w:tc>
          <w:tcPr>
            <w:tcW w:w="190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精量播种器包括气力式和达到精量要求的指夹式，其他列为普通型式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穴播机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6行及以上穴播机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普通排种器；播种行数≥6行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1890</w:t>
            </w:r>
          </w:p>
        </w:tc>
        <w:tc>
          <w:tcPr>
            <w:tcW w:w="190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穴播机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4—5行精量穴播机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精量排种器；播种行数4、5行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2160</w:t>
            </w:r>
          </w:p>
        </w:tc>
        <w:tc>
          <w:tcPr>
            <w:tcW w:w="190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穴播机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6—10行精量穴播机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精量排种器；6行≤播种行数≤10行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4050</w:t>
            </w:r>
          </w:p>
        </w:tc>
        <w:tc>
          <w:tcPr>
            <w:tcW w:w="190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种植施肥机械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播种机械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穴播机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11行及以上精量穴播机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精量排种器；播种行数≥11行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6300</w:t>
            </w:r>
          </w:p>
        </w:tc>
        <w:tc>
          <w:tcPr>
            <w:tcW w:w="190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根茎作物播种机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2—3行马铃薯播种机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2行≤播种行数≤3行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2900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根茎作物播种机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4行及以上马铃薯播种机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播种行数≥4行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免耕播种机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2—3行免耕穴播机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普通排种器；播种行数2—3行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810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（1）精量排种器包括气力式和达到精量要求的指夹式，其他列为普通型式；（2）具备破茬、切草、清垄及开沟部件及具有切茬、分茬、防堵塞和防缠绕功能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免耕播种机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4—5行免耕穴播机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普通排种器；播种行数4—5行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1260</w:t>
            </w:r>
          </w:p>
        </w:tc>
        <w:tc>
          <w:tcPr>
            <w:tcW w:w="1900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（1）精量排种器包括气力式和达到精量要求的指夹式，其他列为普通型式；（2）具备破茬、切草、清垄及开沟部件及具有切茬、分茬、防堵塞和防缠绕功能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免耕播种机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6行及以上免耕穴播机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普通排种器；播种行数≥6行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2520</w:t>
            </w:r>
          </w:p>
        </w:tc>
        <w:tc>
          <w:tcPr>
            <w:tcW w:w="190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免耕播种机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2—3行精量免耕穴播机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精量排种器；播种行数2—3行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190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免耕播种机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4—5行精量免耕穴播机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精量排种器；播种行数4—5行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1800</w:t>
            </w:r>
          </w:p>
        </w:tc>
        <w:tc>
          <w:tcPr>
            <w:tcW w:w="190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免耕播种机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6行及以上精量免耕穴播机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精量排种器；播种行数≥6行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5220</w:t>
            </w:r>
          </w:p>
        </w:tc>
        <w:tc>
          <w:tcPr>
            <w:tcW w:w="190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免耕播种机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2—3行牵引式免耕穴播机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精量排种器；播种行数2—3行；牵引式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12300</w:t>
            </w:r>
          </w:p>
        </w:tc>
        <w:tc>
          <w:tcPr>
            <w:tcW w:w="190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免耕播种机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4—5行牵引式免耕穴播机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精量排种器；播种行数4—5行；牵引式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23300</w:t>
            </w:r>
          </w:p>
        </w:tc>
        <w:tc>
          <w:tcPr>
            <w:tcW w:w="190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播种机械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免耕播种机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6行及以上牵引式免耕穴播机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精量排种器；播种行数≥6行；牵引式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36500</w:t>
            </w:r>
          </w:p>
        </w:tc>
        <w:tc>
          <w:tcPr>
            <w:tcW w:w="190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育苗机械设备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秧盘播种成套设备（含床土处理）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生产率200—500(盘/h)秧盘播种成套设备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含铺底土、播种、洒水、覆土功能；200(盘/h)≤生产率＜500(盘/h)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育苗机械设备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秧盘播种成套设备（含床土处理）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生产率500(盘/h)及以上秧盘播种成套设备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含铺底土、播种、洒水、覆土功能；生产率≥500(盘/h)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栽植机械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水稻插秧机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4行手扶步进式水稻插秧机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手扶步进式；4行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栽植机械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水稻插秧机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6行及以上手扶步进式水稻插秧机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手扶步进式；6行及以上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5800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栽植机械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水稻插秧机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6行及以上独轮乘坐式水稻插秧机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独轮乘坐式；6行及以上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4200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栽植机械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水稻插秧机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4行四轮乘坐式水稻插秧机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四轮乘坐式；4行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16800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栽植机械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水稻插秧机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6—7行四轮乘坐式水稻插秧机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四轮乘坐式；6、7行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28730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栽植机械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水稻插秧机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8行及以上四轮乘坐式水稻插秧机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四轮乘坐式；8行及以上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38600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施肥机械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施肥机（水稻侧深施肥装置）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与独轮插秧机配套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独轮乘坐式；6行及以上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种植施肥机械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施肥机械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施肥机（水稻侧深施肥装置）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与高速插秧机配套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四轮乘坐式；4行及以上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田间管理机械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中耕机械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田园管理机 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功率4.0kW及以上田园管理 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配套功率≥4.0kW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田间管理机械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植保机械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喷杆喷雾机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12m以下悬挂及牵引式喷杆喷雾机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喷幅＜12m；形式：悬挂式、牵引式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1080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田间管理机械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植保机械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喷杆喷雾机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12—18m悬挂及牵引式喷杆喷雾机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12m≤喷幅＜18m；形式：悬挂式、牵引式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田间管理机械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植保机械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喷杆喷雾机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18m及以上悬挂及牵引式喷杆喷雾机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喷幅≥18m；形式：悬挂式、牵引式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6580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田间管理机械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植保机械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喷杆喷雾机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18马力以下自走式喷杆喷雾机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功率＜18马力；形式：自走式，四轮驱动、四轮转向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5400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田间管理机械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植保机械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喷杆喷雾机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18—50马力自走式喷杆喷雾机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18马力≤功率＜50马力；形式：自走式，四轮驱动、四轮转向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25650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田间管理机械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植保机械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喷杆喷雾机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50—100马力自走式喷杆喷雾机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50马力≤功率＜100马力；形式：自走式，四轮驱动、四轮转向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28160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田间管理机械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植保机械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喷杆喷雾机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100马力及以上自走式喷杆喷雾机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功率≥100马力；形式：自走式，四轮驱动、四轮转向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自走轮式谷物联合收割机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2—3kg/s自走轮式谷物联合收割机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2kg/s≤喂入量＜3kg/s；自走轮式；喂入方式：全喂入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11700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自走轮式谷物联合收割机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3—4kg/s自走轮式谷物联合收割机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3kg/s≤喂入量＜4kg/s；自走轮式；喂入方式：全喂入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12900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自走轮式谷物联合收割机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4—5kg/s自走轮式谷物联合收割机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4kg/s≤喂入量＜5kg/s；自走轮式；喂入方式：全喂入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自走轮式谷物联合收割机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5—6kg/s自走轮式谷物联合收割机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5kg/s≤喂入量＜6kg/s；自走轮式；喂入方式：全喂入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自走轮式谷物联合收割机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6—7kg/s自走轮式谷物联合收割机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6kg/s≤喂入量＜7kg/s；自走轮式；喂入方式：全喂入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35800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自走轮式谷物联合收割机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7kg/s及以上自走轮式谷物联合收割机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喂入量≥7kg/s；自走轮式；喂入方式：全喂入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44900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自走履带式谷物联合收割机（全喂入）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0.6—1kg/s自走履带式谷物联合收割机（全喂入）；包含1—1.5kg/s自走履带式水稻联合收割机（全喂入）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0.6kg/s≤喂入量＜1kg/s ；1kg/s≤水稻机喂入量＜1.5kg/s ；自走履带式；喂入方式：全喂入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6300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自走履带式谷物联合收割机（全喂入）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1—1.5kg/s自走履带式谷物联合收割机（全喂入）；包含1.5—2.1kg/s自走履带式水稻联合收割机（全喂入）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1kg/s≤喂入量＜1.5kg/s；1.5kg/s≤水稻机喂入量＜2.1kg/s；自走履带式；喂入方式：全喂入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9100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自走履带式谷物联合收割机（全喂入）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1.5—2.1kg/s自走履带式谷物联合收割机（全喂入）；包含2.1—3kg/s自走履带式水稻联合收割机（全喂入）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1.5kg/s≤喂入量＜2.1kg/s；2.1kg/s≤水稻机喂入量＜3kg/s；自走履带式；喂入方式：全喂入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14800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自走履带式谷物联合收割机（全喂入）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2.1—3kg/s自走履带式谷物联合收割机（全喂入）；包含3—4kg/s自走履带式水稻联合收割机（全喂入）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2.1kg/s≤喂入量＜3kg/s；3kg/s≤水稻机喂入量＜4kg/s；自走履带式；喂入方式：全喂入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自走履带式谷物联合收割机（全喂入）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3—4kg/s自走履带式谷物联合收割机（全喂入）；包含4kg/s及以上自走履带式水稻联合收割机（全喂入）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3kg/s≤喂入量＜4kg/s；水稻机喂入量≥4kg/s；自走履带式；喂入方式：全喂入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自走履带式谷物联合收割机（全喂入）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4kg/s及以上自走履带式谷物联合收割机（全喂入）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喂入量≥4kg/s；自走履带式；喂入方式：全喂入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31300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半喂入联合收割机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3行35马力及以上半喂入联合收割机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收获行数：3行；喂入方式：半喂入；功率≥35马力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半喂入联合收割机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4行及以上35马力及以上半喂入联合收割机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收获行数≥4行；喂入方式：半喂入；功率≥35马力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玉米收获机械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自走式玉米收获机（含穗茎兼收玉米收获机）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2行摘穗型自走式玉米收获机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2行割台；1m≤幅宽＜1.8m；形式：自走式（摘穗型）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7990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不对行收获机型按幅宽归档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玉米收获机械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自走式玉米收获机（含穗茎兼收玉米收获机）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3行摘穗型自走式玉米收获机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3行割台；1.8m≤幅宽＜2.4m；形式：自走式（摘穗型）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24970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不对行收获机型按幅宽归档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玉米收获机械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自走式玉米收获机（含穗茎兼收玉米收获机）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4行摘穗型自走式玉米收获机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4行割台；2.4m≤幅宽＜2.8m；形式：自走式（摘穗型）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39240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不对行收获机型按幅宽归档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玉米收获机械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自走式玉米收获机（含穗茎兼收玉米收获机）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5行及以上摘穗型自走式玉米收获机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5行及以上割台；幅宽≥2.8m；形式：自走式（摘穗型）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69240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不对行收获机型按幅宽归档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玉米收获机械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自走式玉米收获机（含穗茎兼收玉米收获机）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2行摘穗剥皮型自走式玉米收获机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2行割台；1m≤幅宽＜1.8m；形式：自走式（摘穗剥皮型）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19780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不对行收获机型按幅宽归档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玉米收获机械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自走式玉米收获机（含穗茎兼收玉米收获机）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3行摘穗剥皮型自走式玉米收获机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3行割台；1.8m≤幅宽＜2.4m；形式：自走式（摘穗剥皮型）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42300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不对行收获机型按幅宽归档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玉米收获机械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自走式玉米收获机（含穗茎兼收玉米收获机）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4行摘穗剥皮型自走式玉米收获机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4行割台；2.4m≤幅宽＜2.8m；形式：自走式（摘穗剥皮型）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56200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不对行收获机型按幅宽归档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玉米收获机械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自走式玉米收获机（含穗茎兼收玉米收获机）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5行及以上摘穗剥皮型自走式玉米收获机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5行及以上割台；幅宽≥2.8m；形式：自走式（摘穗剥皮型）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69240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不对行收获机型按幅宽归档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玉米收获机械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自走式玉米籽粒联合收获机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3行及以下自走式玉米籽粒联合收获机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3行及以下割台；幅宽＜2.4m；形式：自走式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18900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玉米收获机械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自走式玉米籽粒联合收获机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4行自走式玉米籽粒联合收获机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4行割台；2.4m≤幅宽＜2.8m；形式：自走式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30600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玉米收获机械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自走式玉米籽粒联合收获机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5行及以上自走式玉米籽粒联合收获机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5行及以上割台；幅宽≥2.8m；形式：自走式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87400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果实收获机械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辣椒收获机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辣椒收获机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自走式、工作幅宽≥1.8m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根茎作物收获机械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薯类收获机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0.7—1m分段式薯类收获机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分段收获；0.7m≤作业幅宽＜1m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580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根茎作物收获机械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薯类收获机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1—1.5m分段式薯类收获机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分段收获；1m≤作业幅宽＜1.5m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1660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根茎作物收获机械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薯类收获机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1.5m及以上分段式薯类收获机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分段收获；作业幅宽≥1.5m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2660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根茎作物收获机械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薯类收获机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薯类联合收获机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联合收获，包含挖掘、抖土、分离、集装等功能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20830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根茎作物收获机械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花生收获机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幅宽0.8-1.5m花生收获机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0.8m≤幅宽＜1.5m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830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根茎作物收获机械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花生收获机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幅宽1.5m及以上花生收获机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幅宽≥1.5m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根茎作物收获机械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花生收获机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捡拾收获机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含捡拾、分离、摘果、集箱等功能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根茎作物收获机械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花生收获机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自走式联合收获机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含挖掘、分离、摘果、集箱等功能。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16330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打（压）捆机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0.7—1.2m捡拾压捆机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0.7m≤捡拾宽度＜1.2m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7280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打（压）捆机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1.2—1.7m捡拾压捆机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1.2m≤捡拾宽度＜1.7m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18400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打（压）捆机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1.7—2.2m捡拾压捆机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1.7m≤捡拾宽度＜2.2m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打（压）捆机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2.2m及以上捡拾压捆机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捡拾宽度≥2.2m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39670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打（压）捆机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4kW及以上圆捆压捆机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圆捆；功率≥4kW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8740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打（压）捆机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7.5—15kW方捆压捆机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方捆；7.5kW≤功率＜15kW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打（压）捆机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15kW及以上方捆压捆机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方捆；功率≥15kW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13700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150—160cm悬挂甩刀式青饲料收获机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悬挂甩刀式；150cm≤割幅＜160cm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4200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160cm及以上悬挂甩刀式青饲料收获机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悬挂甩刀式；割幅≥160cm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5400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90—110cm悬挂单圆盘式青饲料收获机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悬挂单圆盘式；90cm≤割幅＜110cm：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110cm及以上悬挂单圆盘式青饲料收获机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悬挂单圆盘式；割幅≥110cm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17200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90—110cm悬挂双圆盘式青饲料收获机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悬挂双圆盘式；90cm≤割幅＜110cm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110—210cm悬挂双圆盘式青饲料收获机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悬挂双圆盘式；110cm≤割幅＜210cm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17200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210—220cm悬挂双圆盘式青饲料收获机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悬挂双圆盘式；210cm≤割幅＜220cm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220cm及以上悬挂双圆盘式青饲料收获机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悬挂双圆盘式；割幅≥220cm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32000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160—190cm悬挂其他式青饲料收获机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悬挂其他式；160cm≤割幅＜190cm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190—220cm悬挂其他式青饲料收获机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悬挂其他式；割幅≥190cm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14400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220cm及以上悬挂其他式青饲料收获机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悬挂其他式；190cm≤割幅＜220cm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16020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110cm及以上牵引式青饲料收获机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牵引式；割幅≥110cm；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8010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200—260cm自走圆盘式青饲料收获机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自走圆盘式；200cm≤割幅＜260cm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53100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260cm及以上自走圆盘式青饲料收获机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自走圆盘式；割幅≥260cm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108000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180—220cm自走其他式青饲料收获机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自走其他式；180cm≤割幅＜220cm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220—260cm自走其他式青饲料收获机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自走其他式；220cm≤割幅＜260cm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54900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260—290cm自走其他式青饲料收获机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自走其他式；260cm≤割幅＜290cm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86500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饲料作物收获机械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青饲料收获机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290cm及以上自走其他式青饲料收获机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自走其他式；割幅≥290cm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129600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茎秆收集处理机械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秸秆粉碎还田机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1—1.5m秸秆粉碎还田机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1m≤作业幅宽＜1.5m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茎秆收集处理机械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秸秆粉碎还田机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1.5—2m秸秆粉碎还田机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1.5m≤作业幅宽＜2m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茎秆收集处理机械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秸秆粉碎还田机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2—2.5m秸秆粉碎还田机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2m≤作业幅宽＜2.5m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茎秆收集处理机械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秸秆粉碎还田机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2.5m及以上秸秆粉碎还田机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作业幅宽≥2.5m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2250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脱粒机械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花生摘果机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花生摘果机，配套动力3-7kW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花生摘果机，3kW≤配套动力＜7kW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脱粒机械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花生摘果机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花生摘果机，配套动力7-11kW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花生摘果机，7kW≤配套动力＜11kW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脱粒机械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花生摘果机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花生摘果机，配套动力11kW及以上 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花生摘果机，配套动力≥11kW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清选机械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粮食清选机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生产率3—5t/h粮食清选机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3t/h≤生产率＜5t/h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清选机械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粮食清选机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生产率5—15t/h粮食清选机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5t/h≤生产率＜15t/h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清选机械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粮食清选机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生产率15—25t/h粮食清选机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15t/h≤生产率＜25t/h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清选机械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粮食清选机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生产率25t/h及以上粮食清选机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生产率≥25t/h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清选机械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粮食清选机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普通光电大米色选机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应用传统光电探测器技术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清选机械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粮食清选机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300单元以下CCD图像传感器大米色选机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色选机执行单元数＜300；应用CCD图像传感器技术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清选机械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粮食清选机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300单元及以上CCD图像传感器大米色选机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色选机执行单元数≥300；应用CCD图像传感器技术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清选机械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粮食清选机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300单元以下CCD图像传感器杂粮色选机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色选机执行单元数＜300；应用CCD图像传感器技术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清选机械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粮食清选机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300单元及以上CCD图像传感器杂粮色选机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色选机执行单元数≥300；应用CCD图像传感器技术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批处理量4—10t循环式谷物烘干机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4t≤批处理量＜10t；循环式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17900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批处理量10—20t循环式谷物烘干机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10t≤批处理量＜20t；循环式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28820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批处理量20—30t循环式谷物烘干机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20t≤批处理量＜30t；循环式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31950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批处理量30t及以上循环式谷物烘干机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批处理量≥30t；循环式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69900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处理量50t/d以下连续式谷物烘干机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处理量＜50t/d；连续式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23700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处理量50—100t/d连续式谷物烘干机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50t/d≤处理量＜100t/d；连续式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35100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处理量100t/d及以上连续式谷物烘干机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处理量≥100t/d；连续式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116200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3—5t平床式谷物烘干机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3t≤装载量＜5t；平床式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谷物烘干机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5t及以上平床式谷物烘干机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装载量≥5t；平床式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果蔬烘干机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容积5m³以下果蔬烘干机（整体脱水）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容积＜5m³；整体脱水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果蔬烘干机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容积5—15m³果蔬烘干机（整体脱水）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5m³≤容积＜15m³；整体脱水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果蔬烘干机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容积15m³及以上果蔬烘干机（整体脱水）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容积≥15m³；整体脱水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果蔬烘干机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批处理量1t以下果蔬烘干机（表面烘干）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批处理量＜1t；表面烘干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840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果蔬烘干机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批处理量1—5t果蔬烘干机（表面烘干）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1t≤批处理量＜5t；表面烘干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果蔬烘干机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批处理量5—10t果蔬烘干机（表面烘干）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5t≤批处理量＜10t；表面烘干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5600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收获后处理机械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果蔬烘干机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批处理量10—20t果蔬烘干机（表面烘干）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10t≤批处理量＜20t；表面烘干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25000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农产品初加工机械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果蔬加工机械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蔬菜清洗机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毛刷辊长度2.5m及以上蔬菜清洗机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毛刷辊长度≥2.5m蔬菜清洗机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农产品初加工机械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剥壳（去皮）机械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花生脱壳机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1t/h-1.5t/h花生脱壳机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1t/h≤生产率＜1.5t/h花生脱壳机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660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农产品初加工机械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剥壳（去皮）机械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花生脱壳机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1.5t/h-3t/h花生脱壳机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1.5t/h≤生产率＜3t/h花生脱壳机（含自动上料设备）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农产品初加工机械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剥壳（去皮）机械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花生脱壳机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3t/h以上花生脱壳机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生产率≥3t/h（含自动上料、除杂设备）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3750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农产品初加工机械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剥壳（去皮）机械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干坚果脱壳机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松子脱壳机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松子脱壳机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农产品初加工机械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剥壳（去皮）机械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干坚果脱壳机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榛子脱壳机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榛子脱壳机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排灌机械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喷灌机械设备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喷灌机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管径65mm以下卷盘式喷灌机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卷盘式；管径＜65mm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3870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排灌机械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喷灌机械设备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喷灌机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管径65—75mm卷盘式喷灌机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卷盘式；65mm≤管径＜75mm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8820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排灌机械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喷灌机械设备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喷灌机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管径75—85mm卷盘式喷灌机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卷盘式；75mm≤管径＜85mm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9720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排灌机械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喷灌机械设备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喷灌机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管径85mm及以上卷盘式喷灌机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卷盘式；管径≥85mm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排灌机械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喷灌机械设备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喷灌机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大型喷灌机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中心支轴式喷灌机或者平移式喷灌机（每跨≥50m）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4500元/跨（上限5万）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畜牧机械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饲料（草）加工机械设备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揉丝机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2—4t/h揉丝机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2≤生产率（t/h）＜4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畜牧机械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饲料（草）加工机械设备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揉丝机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4—6t/h揉丝机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4≤生产率（t/h）＜6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畜牧机械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饲料（草）加工机械设备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揉丝机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6—10t/h揉丝机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6≤生产率（t/h）＜10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畜牧机械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饲料（草）加工机械设备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揉丝机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10—15t/h揉丝机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10≤生产率（t/h）＜15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2310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畜牧机械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饲料（草）加工机械设备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揉丝机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15t/h及以上揉丝机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生产率（t/h）≥15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畜牧机械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饲料（草）加工机械设备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饲料(草)粉碎机 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400—550mm饲料粉碎机 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400mm≤转子直径＜550mm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畜牧机械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饲料（草）加工机械设备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饲料(草)粉碎机 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550mm及以上饲料粉碎机 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转子直径≥550mm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畜牧机械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饲料（草）加工机械设备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颗粒饲料压制机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平模颗粒饲料压制机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平模直径≥200mm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畜牧机械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饲料（草）加工机械设备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颗粒饲料压制机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环模直径200—250mm颗粒饲料压制机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200mm≤环模直径＜250mm，电机功率＜17kW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畜牧机械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饲料（草）加工机械设备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颗粒饲料压制机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环模直径250mm及以上颗粒饲料压制机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环模直径≥250mm，电机功率≥17kW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畜牧机械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饲料（草）加工机械设备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秸秆膨化机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入口螺杆直径≥120mm及以上的秸秆膨化机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生产率≥1000kg/h;入口螺杆直径≥120mm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畜牧机械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饲养机械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喂料机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螺旋喂料机输送长度50M及以下 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含料塔， 输送长度≤50m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畜牧机械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饲养机械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清粪机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牵引刮板式清粪机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牵引刮板式清粪机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畜牧机械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饲养机械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粪污固液分离机 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污粪固液分离机 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污粪固液分离机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农业废弃物利用处理设备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废弃物处理设备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残膜回收机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扒齿搂膜式或其他残膜回收机,工作幅宽1m-3m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机引式，工作方式：扒齿搂膜式或其他式，1m≤工作幅宽≤3m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农业废弃物利用处理设备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废弃物处理设备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残膜回收机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拔杆式残膜回收机,工作幅宽1.4m-2m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工作方式：拔杆起膜式，1.4m≤工作幅宽＜2m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农业废弃物利用处理设备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废弃物处理设备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残膜回收机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拔杆式残膜回收机,工作幅宽2m及以上　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工作方式：拔杆起膜，工作幅宽≥2m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农业废弃物利用处理设备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废弃物处理设备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残膜回收机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带秸秆粉碎功能残膜回收机，工作幅宽1.8m及以上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工作幅宽≥1.8m;带秸秆粉碎功能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农业废弃物利用处理设备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废弃物处理设备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秸秆压块（粒、棒）机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0.5-1t/h压块机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0.5t/h≤生产率＜1t/h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农业废弃物利用处理设备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废弃物处理设备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秸秆压块（粒、棒）机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1-2t/h压块机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1t/h≤生产率＜2t/h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农业废弃物利用处理设备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废弃物处理设备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秸秆压块（粒、棒）机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2t/h及以上压块机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生产率≥2t/h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25000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农业废弃物利用处理设备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废弃物处理设备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病死畜禽无害化处理设备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病死畜禽无害化处理设备,批处理量500kg以下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批处理量500kg以下，配备切割、加热、尾气处理装置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农业废弃物利用处理设备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废弃物处理设备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病死畜禽无害化处理设备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病死畜禽无害化处理设备,批处理量500kg及以上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批处理量500kg及以上，配备切割、加热、尾气处理装置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农田基本建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设机械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平地机械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平地机（含激光平地机） 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幅宽2-3m激光平地机 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2m≤幅宽＜3m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7600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农田基本建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设机械 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平地机械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平地机（含激光平地机） 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幅宽3m及以上激光平地机 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幅宽≥3m 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11210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30—40马力两轮驱动拖拉机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30马力≤功率＜40马力；驱动方式：两轮驱动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5520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40—50马力两轮驱动拖拉机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40马力≤功率＜50马力；驱动方式：两轮驱动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8280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50—60马力两轮驱动拖拉机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50马力≤功率＜60马力；驱动方式：两轮驱动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60—70马力两轮驱动拖拉机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60马力≤功率＜70马力；驱动方式：两轮驱动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13800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70—80马力两轮驱动拖拉机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70马力≤功率＜80马力；驱动方式：两轮驱动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18450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80—90马力两轮驱动拖拉机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80马力≤功率＜90马力；驱动方式：两轮驱动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20160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90—100马力两轮驱动拖拉机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90马力≤功率＜100马力；驱动方式：两轮驱动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22700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100马力及以上两轮驱动拖拉机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功率≥100马力；驱动方式：两轮驱动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24300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30—40马力四轮驱动拖拉机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30马力≤功率＜40马力；驱动方式：四轮驱动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10120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40—50马力四轮驱动拖拉机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40马力≤功率＜50马力；驱动方式：四轮驱动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12750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50—60马力四轮驱动拖拉机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50马力≤功率＜60马力；驱动方式：四轮驱动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16330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60—70马力四轮驱动拖拉机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60马力≤功率＜70马力；驱动方式：四轮驱动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18300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70—80马力四轮驱动拖拉机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70马力≤功率＜80马力；驱动方式：四轮驱动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22030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80—90马力四轮驱动拖拉机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80马力≤功率＜90马力；驱动方式：四轮驱动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22030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90—100马力四轮驱动拖拉机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90马力≤功率＜100马力；驱动方式：四轮驱动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31210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100—120马力四轮驱动拖拉机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100马力≤功率＜120马力；驱动方式：四轮驱动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31210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120—140马力四轮驱动拖拉机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120马力≤功率＜140马力；驱动方式：四轮驱动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46500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140—160马力四轮驱动拖拉机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140马力≤功率＜160马力；驱动方式：四轮驱动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59540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160—180马力四轮驱动拖拉机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160马力≤功率＜180马力；驱动方式：四轮驱动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71440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180—200马力四轮驱动拖拉机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180马力≤功率＜200马力；驱动方式：四轮驱动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74290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轮式 拖拉机（不含皮带传动轮式拖拉机）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200马力及以上四轮驱动拖拉机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功率≥200马力；驱动方式：四轮驱动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127630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履带式拖拉机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40—50马力履带式拖拉机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40马力≤功率＜50马力；驱动方式：履带式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履带式拖拉机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50—60马力履带式拖拉机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50马力≤功率＜60马力；驱动方式：履带式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履带式拖拉机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60—70马力履带式拖拉机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60马力≤功率＜70马力；驱动方式：履带式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履带式拖拉机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70—80马力履带式拖拉机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70马力≤功率＜80马力；驱动方式：履带式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36700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履带式拖拉机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80—90马力履带式拖拉机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80马力≤功率＜90马力；驱动方式：履带式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36700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履带式拖拉机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90—100马力履带式拖拉机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90马力≤功率＜100马力；驱动方式：履带式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42000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履带式拖拉机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100—110马力履带式拖拉机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100马力≤功率＜110马力；驱动方式：履带式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履带式拖拉机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110—120马力履带式拖拉机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110马力≤功率＜120马力；驱动方式：履带式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履带式拖拉机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120—130马力履带式拖拉机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120马力≤功率＜130马力；驱动方式：履带式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53500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履带式拖拉机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130—140马力履带式拖拉机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130马力≤功率＜140马力；驱动方式：履带式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56000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履带式拖拉机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140—150马力履带式拖拉机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140马力≤功率＜150马力；驱动方式：履带式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66000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履带式拖拉机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150—160马力履带式拖拉机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150马力≤功率＜160马力；驱动方式：履带式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66000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履带式拖拉机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160马力及以上履带式拖拉机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功率≥160马力；驱动方式：履带式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105000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动力机械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拖拉机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履带式拖拉机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50马力及以上轻型履带式拖拉机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功率≥50马力；驱动方式：履带式；橡胶履带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14400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农业用北斗终端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电动方向盘，直线精度±10cm的北斗导航辅助驾驶系统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电动方向盘，北斗导航辅助驾驶系统，直线精度±10cm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其他机械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其他机械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农业用北斗终端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液压控制转向机，直线精度±2.5cm的北斗导航自动驾驶系统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液压控制转向机，北斗导航自动驾驶系统，直线精度±2.5cm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pgSz w:w="16838" w:h="11906" w:orient="landscape"/>
      <w:pgMar w:top="607" w:right="720" w:bottom="607" w:left="720" w:header="851" w:footer="992" w:gutter="0"/>
      <w:paperSrc w:first="0" w:oth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widowControl/>
      <w:spacing w:before="480" w:line="600" w:lineRule="exact"/>
      <w:contextualSpacing/>
      <w:jc w:val="left"/>
      <w:outlineLvl w:val="0"/>
    </w:pPr>
    <w:rPr>
      <w:rFonts w:ascii="Tw Cen MT" w:hAnsi="Tw Cen MT" w:eastAsia="华文仿宋" w:cs="Times New Roman"/>
      <w:b/>
      <w:bCs/>
      <w:kern w:val="0"/>
      <w:sz w:val="28"/>
      <w:szCs w:val="28"/>
      <w:lang w:eastAsia="en-US" w:bidi="en-US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widowControl/>
      <w:spacing w:before="200" w:line="600" w:lineRule="exact"/>
      <w:jc w:val="left"/>
      <w:outlineLvl w:val="1"/>
    </w:pPr>
    <w:rPr>
      <w:rFonts w:ascii="Tw Cen MT" w:hAnsi="Tw Cen MT" w:eastAsia="华文仿宋" w:cs="Times New Roman"/>
      <w:b/>
      <w:bCs/>
      <w:kern w:val="0"/>
      <w:sz w:val="26"/>
      <w:szCs w:val="26"/>
      <w:lang w:eastAsia="en-US" w:bidi="en-US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widowControl/>
      <w:spacing w:before="200" w:line="271" w:lineRule="auto"/>
      <w:jc w:val="left"/>
      <w:outlineLvl w:val="2"/>
    </w:pPr>
    <w:rPr>
      <w:rFonts w:ascii="Tw Cen MT" w:hAnsi="Tw Cen MT" w:eastAsia="华文仿宋" w:cs="Times New Roman"/>
      <w:b/>
      <w:bCs/>
      <w:kern w:val="0"/>
      <w:sz w:val="22"/>
      <w:lang w:eastAsia="en-US" w:bidi="en-US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widowControl/>
      <w:spacing w:before="200" w:line="600" w:lineRule="exact"/>
      <w:jc w:val="left"/>
      <w:outlineLvl w:val="3"/>
    </w:pPr>
    <w:rPr>
      <w:rFonts w:ascii="Tw Cen MT" w:hAnsi="Tw Cen MT" w:eastAsia="华文仿宋" w:cs="Times New Roman"/>
      <w:b/>
      <w:bCs/>
      <w:i/>
      <w:iCs/>
      <w:kern w:val="0"/>
      <w:sz w:val="22"/>
      <w:lang w:eastAsia="en-US" w:bidi="en-US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widowControl/>
      <w:spacing w:before="200" w:line="600" w:lineRule="exact"/>
      <w:jc w:val="left"/>
      <w:outlineLvl w:val="4"/>
    </w:pPr>
    <w:rPr>
      <w:rFonts w:ascii="Tw Cen MT" w:hAnsi="Tw Cen MT" w:eastAsia="华文仿宋" w:cs="Times New Roman"/>
      <w:b/>
      <w:bCs/>
      <w:color w:val="7F7F7F"/>
      <w:kern w:val="0"/>
      <w:sz w:val="22"/>
      <w:lang w:eastAsia="en-US" w:bidi="en-US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widowControl/>
      <w:spacing w:line="271" w:lineRule="auto"/>
      <w:jc w:val="left"/>
      <w:outlineLvl w:val="5"/>
    </w:pPr>
    <w:rPr>
      <w:rFonts w:ascii="Tw Cen MT" w:hAnsi="Tw Cen MT" w:eastAsia="华文仿宋" w:cs="Times New Roman"/>
      <w:b/>
      <w:bCs/>
      <w:i/>
      <w:iCs/>
      <w:color w:val="7F7F7F"/>
      <w:kern w:val="0"/>
      <w:sz w:val="22"/>
      <w:lang w:eastAsia="en-US" w:bidi="en-US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widowControl/>
      <w:spacing w:line="600" w:lineRule="exact"/>
      <w:jc w:val="left"/>
      <w:outlineLvl w:val="6"/>
    </w:pPr>
    <w:rPr>
      <w:rFonts w:ascii="Tw Cen MT" w:hAnsi="Tw Cen MT" w:eastAsia="华文仿宋" w:cs="Times New Roman"/>
      <w:i/>
      <w:iCs/>
      <w:kern w:val="0"/>
      <w:sz w:val="22"/>
      <w:lang w:eastAsia="en-US" w:bidi="en-US"/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widowControl/>
      <w:spacing w:line="600" w:lineRule="exact"/>
      <w:jc w:val="left"/>
      <w:outlineLvl w:val="7"/>
    </w:pPr>
    <w:rPr>
      <w:rFonts w:ascii="Tw Cen MT" w:hAnsi="Tw Cen MT" w:eastAsia="华文仿宋" w:cs="Times New Roman"/>
      <w:kern w:val="0"/>
      <w:sz w:val="20"/>
      <w:szCs w:val="20"/>
      <w:lang w:eastAsia="en-US" w:bidi="en-US"/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widowControl/>
      <w:spacing w:line="600" w:lineRule="exact"/>
      <w:jc w:val="left"/>
      <w:outlineLvl w:val="8"/>
    </w:pPr>
    <w:rPr>
      <w:rFonts w:ascii="Tw Cen MT" w:hAnsi="Tw Cen MT" w:eastAsia="华文仿宋" w:cs="Times New Roman"/>
      <w:i/>
      <w:iCs/>
      <w:spacing w:val="5"/>
      <w:kern w:val="0"/>
      <w:sz w:val="20"/>
      <w:szCs w:val="20"/>
      <w:lang w:eastAsia="en-US" w:bidi="en-US"/>
    </w:rPr>
  </w:style>
  <w:style w:type="character" w:default="1" w:styleId="15">
    <w:name w:val="Default Paragraph Font"/>
    <w:semiHidden/>
    <w:unhideWhenUsed/>
    <w:uiPriority w:val="1"/>
  </w:style>
  <w:style w:type="paragraph" w:styleId="11">
    <w:name w:val="footer"/>
    <w:basedOn w:val="1"/>
    <w:link w:val="2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6"/>
    <w:qFormat/>
    <w:uiPriority w:val="11"/>
    <w:pPr>
      <w:widowControl/>
      <w:spacing w:after="600" w:line="600" w:lineRule="exact"/>
      <w:jc w:val="left"/>
    </w:pPr>
    <w:rPr>
      <w:rFonts w:ascii="Tw Cen MT" w:hAnsi="Tw Cen MT" w:eastAsia="华文仿宋" w:cs="Times New Roman"/>
      <w:i/>
      <w:iCs/>
      <w:spacing w:val="13"/>
      <w:kern w:val="0"/>
      <w:sz w:val="24"/>
      <w:szCs w:val="24"/>
      <w:lang w:eastAsia="en-US" w:bidi="en-US"/>
    </w:rPr>
  </w:style>
  <w:style w:type="paragraph" w:styleId="14">
    <w:name w:val="Title"/>
    <w:basedOn w:val="1"/>
    <w:next w:val="1"/>
    <w:link w:val="35"/>
    <w:qFormat/>
    <w:uiPriority w:val="10"/>
    <w:pPr>
      <w:widowControl/>
      <w:pBdr>
        <w:bottom w:val="single" w:color="auto" w:sz="4" w:space="1"/>
      </w:pBdr>
      <w:spacing w:after="200"/>
      <w:contextualSpacing/>
      <w:jc w:val="left"/>
    </w:pPr>
    <w:rPr>
      <w:rFonts w:ascii="Tw Cen MT" w:hAnsi="Tw Cen MT" w:eastAsia="华文仿宋" w:cs="Times New Roman"/>
      <w:spacing w:val="5"/>
      <w:kern w:val="0"/>
      <w:sz w:val="52"/>
      <w:szCs w:val="52"/>
      <w:lang w:eastAsia="en-US" w:bidi="en-US"/>
    </w:rPr>
  </w:style>
  <w:style w:type="character" w:styleId="16">
    <w:name w:val="Strong"/>
    <w:qFormat/>
    <w:uiPriority w:val="22"/>
    <w:rPr>
      <w:b/>
      <w:bCs/>
    </w:rPr>
  </w:style>
  <w:style w:type="character" w:styleId="17">
    <w:name w:val="Emphasis"/>
    <w:qFormat/>
    <w:uiPriority w:val="20"/>
    <w:rPr>
      <w:b/>
      <w:bCs/>
      <w:i/>
      <w:iCs/>
      <w:spacing w:val="10"/>
      <w:shd w:val="clear" w:color="auto" w:fill="auto"/>
    </w:rPr>
  </w:style>
  <w:style w:type="paragraph" w:customStyle="1" w:styleId="18">
    <w:name w:val="无间隔1"/>
    <w:basedOn w:val="1"/>
    <w:link w:val="34"/>
    <w:qFormat/>
    <w:uiPriority w:val="1"/>
    <w:pPr>
      <w:widowControl/>
      <w:jc w:val="left"/>
    </w:pPr>
    <w:rPr>
      <w:rFonts w:ascii="Tw Cen MT" w:hAnsi="Tw Cen MT" w:eastAsia="华文仿宋" w:cs="Times New Roman"/>
      <w:kern w:val="0"/>
      <w:sz w:val="22"/>
      <w:lang w:eastAsia="en-US" w:bidi="en-US"/>
    </w:rPr>
  </w:style>
  <w:style w:type="paragraph" w:customStyle="1" w:styleId="19">
    <w:name w:val="列出段落1"/>
    <w:basedOn w:val="1"/>
    <w:qFormat/>
    <w:uiPriority w:val="34"/>
    <w:pPr>
      <w:widowControl/>
      <w:spacing w:after="200" w:line="600" w:lineRule="exact"/>
      <w:ind w:left="720"/>
      <w:contextualSpacing/>
      <w:jc w:val="left"/>
    </w:pPr>
    <w:rPr>
      <w:rFonts w:ascii="Tw Cen MT" w:hAnsi="Tw Cen MT" w:eastAsia="华文仿宋" w:cs="Times New Roman"/>
      <w:kern w:val="0"/>
      <w:sz w:val="22"/>
      <w:lang w:eastAsia="en-US" w:bidi="en-US"/>
    </w:rPr>
  </w:style>
  <w:style w:type="paragraph" w:customStyle="1" w:styleId="20">
    <w:name w:val="引用1"/>
    <w:basedOn w:val="1"/>
    <w:next w:val="1"/>
    <w:link w:val="37"/>
    <w:qFormat/>
    <w:uiPriority w:val="29"/>
    <w:pPr>
      <w:widowControl/>
      <w:spacing w:before="200" w:line="600" w:lineRule="exact"/>
      <w:ind w:left="360" w:right="360"/>
      <w:jc w:val="left"/>
    </w:pPr>
    <w:rPr>
      <w:rFonts w:ascii="Tw Cen MT" w:hAnsi="Tw Cen MT" w:eastAsia="华文仿宋" w:cs="Times New Roman"/>
      <w:i/>
      <w:iCs/>
      <w:kern w:val="0"/>
      <w:sz w:val="22"/>
      <w:lang w:eastAsia="en-US" w:bidi="en-US"/>
    </w:rPr>
  </w:style>
  <w:style w:type="paragraph" w:customStyle="1" w:styleId="21">
    <w:name w:val="明显引用1"/>
    <w:basedOn w:val="1"/>
    <w:next w:val="1"/>
    <w:link w:val="38"/>
    <w:qFormat/>
    <w:uiPriority w:val="30"/>
    <w:pPr>
      <w:widowControl/>
      <w:pBdr>
        <w:bottom w:val="single" w:color="auto" w:sz="4" w:space="1"/>
      </w:pBdr>
      <w:spacing w:before="200" w:after="280" w:line="600" w:lineRule="exact"/>
      <w:ind w:left="1008" w:right="1152"/>
    </w:pPr>
    <w:rPr>
      <w:rFonts w:ascii="Tw Cen MT" w:hAnsi="Tw Cen MT" w:eastAsia="华文仿宋" w:cs="Times New Roman"/>
      <w:b/>
      <w:bCs/>
      <w:i/>
      <w:iCs/>
      <w:kern w:val="0"/>
      <w:sz w:val="22"/>
      <w:lang w:eastAsia="en-US" w:bidi="en-US"/>
    </w:rPr>
  </w:style>
  <w:style w:type="paragraph" w:customStyle="1" w:styleId="22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23">
    <w:name w:val="页眉 Char"/>
    <w:basedOn w:val="15"/>
    <w:link w:val="12"/>
    <w:semiHidden/>
    <w:uiPriority w:val="99"/>
    <w:rPr>
      <w:sz w:val="18"/>
      <w:szCs w:val="18"/>
    </w:rPr>
  </w:style>
  <w:style w:type="character" w:customStyle="1" w:styleId="24">
    <w:name w:val="页脚 Char"/>
    <w:basedOn w:val="15"/>
    <w:link w:val="11"/>
    <w:uiPriority w:val="99"/>
    <w:rPr>
      <w:sz w:val="18"/>
      <w:szCs w:val="18"/>
    </w:rPr>
  </w:style>
  <w:style w:type="character" w:customStyle="1" w:styleId="25">
    <w:name w:val="标题 1 Char"/>
    <w:basedOn w:val="15"/>
    <w:link w:val="2"/>
    <w:uiPriority w:val="9"/>
    <w:rPr>
      <w:rFonts w:ascii="Tw Cen MT" w:hAnsi="Tw Cen MT" w:eastAsia="华文仿宋" w:cs="Times New Roman"/>
      <w:b/>
      <w:bCs/>
      <w:kern w:val="0"/>
      <w:sz w:val="28"/>
      <w:szCs w:val="28"/>
      <w:lang w:eastAsia="en-US" w:bidi="en-US"/>
    </w:rPr>
  </w:style>
  <w:style w:type="character" w:customStyle="1" w:styleId="26">
    <w:name w:val="标题 2 Char"/>
    <w:basedOn w:val="15"/>
    <w:link w:val="3"/>
    <w:semiHidden/>
    <w:uiPriority w:val="9"/>
    <w:rPr>
      <w:rFonts w:ascii="Tw Cen MT" w:hAnsi="Tw Cen MT" w:eastAsia="华文仿宋" w:cs="Times New Roman"/>
      <w:b/>
      <w:bCs/>
      <w:kern w:val="0"/>
      <w:sz w:val="26"/>
      <w:szCs w:val="26"/>
      <w:lang w:eastAsia="en-US" w:bidi="en-US"/>
    </w:rPr>
  </w:style>
  <w:style w:type="character" w:customStyle="1" w:styleId="27">
    <w:name w:val="标题 3 Char"/>
    <w:basedOn w:val="15"/>
    <w:link w:val="4"/>
    <w:semiHidden/>
    <w:uiPriority w:val="9"/>
    <w:rPr>
      <w:rFonts w:ascii="Tw Cen MT" w:hAnsi="Tw Cen MT" w:eastAsia="华文仿宋" w:cs="Times New Roman"/>
      <w:b/>
      <w:bCs/>
      <w:kern w:val="0"/>
      <w:sz w:val="22"/>
      <w:lang w:eastAsia="en-US" w:bidi="en-US"/>
    </w:rPr>
  </w:style>
  <w:style w:type="character" w:customStyle="1" w:styleId="28">
    <w:name w:val="标题 4 Char"/>
    <w:basedOn w:val="15"/>
    <w:link w:val="5"/>
    <w:semiHidden/>
    <w:uiPriority w:val="9"/>
    <w:rPr>
      <w:rFonts w:ascii="Tw Cen MT" w:hAnsi="Tw Cen MT" w:eastAsia="华文仿宋" w:cs="Times New Roman"/>
      <w:b/>
      <w:bCs/>
      <w:i/>
      <w:iCs/>
      <w:kern w:val="0"/>
      <w:sz w:val="22"/>
      <w:lang w:eastAsia="en-US" w:bidi="en-US"/>
    </w:rPr>
  </w:style>
  <w:style w:type="character" w:customStyle="1" w:styleId="29">
    <w:name w:val="标题 5 Char"/>
    <w:basedOn w:val="15"/>
    <w:link w:val="6"/>
    <w:semiHidden/>
    <w:uiPriority w:val="9"/>
    <w:rPr>
      <w:rFonts w:ascii="Tw Cen MT" w:hAnsi="Tw Cen MT" w:eastAsia="华文仿宋" w:cs="Times New Roman"/>
      <w:b/>
      <w:bCs/>
      <w:color w:val="7F7F7F"/>
      <w:kern w:val="0"/>
      <w:sz w:val="22"/>
      <w:lang w:eastAsia="en-US" w:bidi="en-US"/>
    </w:rPr>
  </w:style>
  <w:style w:type="character" w:customStyle="1" w:styleId="30">
    <w:name w:val="标题 6 Char"/>
    <w:basedOn w:val="15"/>
    <w:link w:val="7"/>
    <w:semiHidden/>
    <w:uiPriority w:val="9"/>
    <w:rPr>
      <w:rFonts w:ascii="Tw Cen MT" w:hAnsi="Tw Cen MT" w:eastAsia="华文仿宋" w:cs="Times New Roman"/>
      <w:b/>
      <w:bCs/>
      <w:i/>
      <w:iCs/>
      <w:color w:val="7F7F7F"/>
      <w:kern w:val="0"/>
      <w:sz w:val="22"/>
      <w:lang w:eastAsia="en-US" w:bidi="en-US"/>
    </w:rPr>
  </w:style>
  <w:style w:type="character" w:customStyle="1" w:styleId="31">
    <w:name w:val="标题 7 Char"/>
    <w:basedOn w:val="15"/>
    <w:link w:val="8"/>
    <w:semiHidden/>
    <w:uiPriority w:val="9"/>
    <w:rPr>
      <w:rFonts w:ascii="Tw Cen MT" w:hAnsi="Tw Cen MT" w:eastAsia="华文仿宋" w:cs="Times New Roman"/>
      <w:i/>
      <w:iCs/>
      <w:kern w:val="0"/>
      <w:sz w:val="22"/>
      <w:lang w:eastAsia="en-US" w:bidi="en-US"/>
    </w:rPr>
  </w:style>
  <w:style w:type="character" w:customStyle="1" w:styleId="32">
    <w:name w:val="标题 8 Char"/>
    <w:basedOn w:val="15"/>
    <w:link w:val="9"/>
    <w:semiHidden/>
    <w:uiPriority w:val="9"/>
    <w:rPr>
      <w:rFonts w:ascii="Tw Cen MT" w:hAnsi="Tw Cen MT" w:eastAsia="华文仿宋" w:cs="Times New Roman"/>
      <w:kern w:val="0"/>
      <w:sz w:val="20"/>
      <w:szCs w:val="20"/>
      <w:lang w:eastAsia="en-US" w:bidi="en-US"/>
    </w:rPr>
  </w:style>
  <w:style w:type="character" w:customStyle="1" w:styleId="33">
    <w:name w:val="标题 9 Char"/>
    <w:basedOn w:val="15"/>
    <w:link w:val="10"/>
    <w:semiHidden/>
    <w:uiPriority w:val="9"/>
    <w:rPr>
      <w:rFonts w:ascii="Tw Cen MT" w:hAnsi="Tw Cen MT" w:eastAsia="华文仿宋" w:cs="Times New Roman"/>
      <w:i/>
      <w:iCs/>
      <w:spacing w:val="5"/>
      <w:kern w:val="0"/>
      <w:sz w:val="20"/>
      <w:szCs w:val="20"/>
      <w:lang w:eastAsia="en-US" w:bidi="en-US"/>
    </w:rPr>
  </w:style>
  <w:style w:type="character" w:customStyle="1" w:styleId="34">
    <w:name w:val="无间隔 Char"/>
    <w:basedOn w:val="15"/>
    <w:link w:val="18"/>
    <w:uiPriority w:val="1"/>
    <w:rPr>
      <w:rFonts w:ascii="Tw Cen MT" w:hAnsi="Tw Cen MT" w:eastAsia="华文仿宋" w:cs="Times New Roman"/>
      <w:kern w:val="0"/>
      <w:sz w:val="22"/>
      <w:lang w:eastAsia="en-US" w:bidi="en-US"/>
    </w:rPr>
  </w:style>
  <w:style w:type="character" w:customStyle="1" w:styleId="35">
    <w:name w:val="标题 Char"/>
    <w:basedOn w:val="15"/>
    <w:link w:val="14"/>
    <w:uiPriority w:val="10"/>
    <w:rPr>
      <w:rFonts w:ascii="Tw Cen MT" w:hAnsi="Tw Cen MT" w:eastAsia="华文仿宋" w:cs="Times New Roman"/>
      <w:spacing w:val="5"/>
      <w:kern w:val="0"/>
      <w:sz w:val="52"/>
      <w:szCs w:val="52"/>
      <w:lang w:eastAsia="en-US" w:bidi="en-US"/>
    </w:rPr>
  </w:style>
  <w:style w:type="character" w:customStyle="1" w:styleId="36">
    <w:name w:val="副标题 Char"/>
    <w:basedOn w:val="15"/>
    <w:link w:val="13"/>
    <w:uiPriority w:val="11"/>
    <w:rPr>
      <w:rFonts w:ascii="Tw Cen MT" w:hAnsi="Tw Cen MT" w:eastAsia="华文仿宋" w:cs="Times New Roman"/>
      <w:i/>
      <w:iCs/>
      <w:spacing w:val="13"/>
      <w:kern w:val="0"/>
      <w:sz w:val="24"/>
      <w:szCs w:val="24"/>
      <w:lang w:eastAsia="en-US" w:bidi="en-US"/>
    </w:rPr>
  </w:style>
  <w:style w:type="character" w:customStyle="1" w:styleId="37">
    <w:name w:val="引用 Char"/>
    <w:basedOn w:val="15"/>
    <w:link w:val="20"/>
    <w:uiPriority w:val="29"/>
    <w:rPr>
      <w:rFonts w:ascii="Tw Cen MT" w:hAnsi="Tw Cen MT" w:eastAsia="华文仿宋" w:cs="Times New Roman"/>
      <w:i/>
      <w:iCs/>
      <w:kern w:val="0"/>
      <w:sz w:val="22"/>
      <w:lang w:eastAsia="en-US" w:bidi="en-US"/>
    </w:rPr>
  </w:style>
  <w:style w:type="character" w:customStyle="1" w:styleId="38">
    <w:name w:val="明显引用 Char"/>
    <w:basedOn w:val="15"/>
    <w:link w:val="21"/>
    <w:uiPriority w:val="30"/>
    <w:rPr>
      <w:rFonts w:ascii="Tw Cen MT" w:hAnsi="Tw Cen MT" w:eastAsia="华文仿宋" w:cs="Times New Roman"/>
      <w:b/>
      <w:bCs/>
      <w:i/>
      <w:iCs/>
      <w:kern w:val="0"/>
      <w:sz w:val="22"/>
      <w:lang w:eastAsia="en-US" w:bidi="en-US"/>
    </w:rPr>
  </w:style>
  <w:style w:type="character" w:customStyle="1" w:styleId="39">
    <w:name w:val="不明显强调1"/>
    <w:qFormat/>
    <w:uiPriority w:val="19"/>
    <w:rPr>
      <w:i/>
      <w:iCs/>
    </w:rPr>
  </w:style>
  <w:style w:type="character" w:customStyle="1" w:styleId="40">
    <w:name w:val="明显强调1"/>
    <w:qFormat/>
    <w:uiPriority w:val="21"/>
    <w:rPr>
      <w:b/>
      <w:bCs/>
    </w:rPr>
  </w:style>
  <w:style w:type="character" w:customStyle="1" w:styleId="41">
    <w:name w:val="不明显参考1"/>
    <w:qFormat/>
    <w:uiPriority w:val="31"/>
    <w:rPr>
      <w:smallCaps/>
    </w:rPr>
  </w:style>
  <w:style w:type="character" w:customStyle="1" w:styleId="42">
    <w:name w:val="明显参考1"/>
    <w:qFormat/>
    <w:uiPriority w:val="32"/>
    <w:rPr>
      <w:smallCaps/>
      <w:spacing w:val="5"/>
      <w:u w:val="single"/>
    </w:rPr>
  </w:style>
  <w:style w:type="character" w:customStyle="1" w:styleId="43">
    <w:name w:val="书籍标题1"/>
    <w:qFormat/>
    <w:uiPriority w:val="33"/>
    <w:rPr>
      <w:i/>
      <w:i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2327</Words>
  <Characters>13269</Characters>
  <Lines>110</Lines>
  <Paragraphs>31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2018-05-11T01:43:00Z</dcterms:created>
  <dc:creator>微软用户</dc:creator>
  <cp:lastModifiedBy>win7</cp:lastModifiedBy>
  <dcterms:modified xsi:type="dcterms:W3CDTF">2018-05-30T00:28:37Z</dcterms:modified>
  <dc:title>吉林省农业委员会 吉林省财政厅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